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DEVELOPMENT OF SEVERE CHRONIC KIDNEY DISEASE AFTER ORTHOTOPIC HEART TRANSPLANTATION </w:t>
      </w:r>
    </w:p>
    <w:p w:rsidR="00543817" w:rsidRDefault="00B921ED" w:rsidP="00482B87">
      <w:pPr>
        <w:widowControl w:val="0"/>
        <w:autoSpaceDE w:val="0"/>
        <w:autoSpaceDN w:val="0"/>
        <w:adjustRightInd w:val="0"/>
      </w:pPr>
      <w:r w:rsidRPr="005A06DC">
        <w:t>H</w:t>
      </w:r>
      <w:r w:rsidR="00543817" w:rsidRPr="005A06DC">
        <w:t>. Yerebakan</w:t>
      </w:r>
      <w:r w:rsidR="00482B87" w:rsidRPr="00482B87">
        <w:rPr>
          <w:color w:val="000000"/>
          <w:vertAlign w:val="superscript"/>
        </w:rPr>
        <w:t>1</w:t>
      </w:r>
      <w:r>
        <w:t>, M</w:t>
      </w:r>
      <w:r w:rsidR="00543817">
        <w:t>.</w:t>
      </w:r>
      <w:r>
        <w:t xml:space="preserve"> Ji</w:t>
      </w:r>
      <w:r w:rsidR="00482B87" w:rsidRPr="00482B87">
        <w:rPr>
          <w:color w:val="000000"/>
          <w:vertAlign w:val="superscript"/>
        </w:rPr>
        <w:t>1</w:t>
      </w:r>
      <w:r>
        <w:t>, A</w:t>
      </w:r>
      <w:r w:rsidR="00543817">
        <w:t>.</w:t>
      </w:r>
      <w:r>
        <w:t xml:space="preserve"> Kossar</w:t>
      </w:r>
      <w:r w:rsidR="00482B87" w:rsidRPr="00482B87">
        <w:rPr>
          <w:color w:val="000000"/>
          <w:vertAlign w:val="superscript"/>
        </w:rPr>
        <w:t>1</w:t>
      </w:r>
      <w:r>
        <w:t xml:space="preserve">, </w:t>
      </w:r>
      <w:r w:rsidRPr="005A06DC">
        <w:rPr>
          <w:b/>
          <w:bCs/>
          <w:u w:val="single"/>
        </w:rPr>
        <w:t>S</w:t>
      </w:r>
      <w:r w:rsidR="00543817" w:rsidRPr="005A06DC">
        <w:rPr>
          <w:b/>
          <w:bCs/>
          <w:u w:val="single"/>
        </w:rPr>
        <w:t>.</w:t>
      </w:r>
      <w:r w:rsidRPr="005A06DC">
        <w:rPr>
          <w:b/>
          <w:bCs/>
          <w:u w:val="single"/>
        </w:rPr>
        <w:t xml:space="preserve"> Khalid</w:t>
      </w:r>
      <w:r w:rsidR="00482B87">
        <w:rPr>
          <w:color w:val="000000"/>
          <w:vertAlign w:val="superscript"/>
        </w:rPr>
        <w:t>2</w:t>
      </w:r>
      <w:r>
        <w:t>, S</w:t>
      </w:r>
      <w:r w:rsidR="00543817">
        <w:t>.</w:t>
      </w:r>
      <w:r>
        <w:t xml:space="preserve"> Jones</w:t>
      </w:r>
      <w:r w:rsidR="00482B87" w:rsidRPr="00482B87">
        <w:rPr>
          <w:color w:val="000000"/>
          <w:vertAlign w:val="superscript"/>
        </w:rPr>
        <w:t>1</w:t>
      </w:r>
      <w:r>
        <w:t>, L</w:t>
      </w:r>
      <w:r w:rsidR="00543817">
        <w:t>.</w:t>
      </w:r>
      <w:r>
        <w:t xml:space="preserve"> Soni</w:t>
      </w:r>
      <w:r w:rsidR="00482B87" w:rsidRPr="00482B87">
        <w:rPr>
          <w:color w:val="000000"/>
          <w:vertAlign w:val="superscript"/>
        </w:rPr>
        <w:t>1</w:t>
      </w:r>
      <w:r>
        <w:t>, M</w:t>
      </w:r>
      <w:r w:rsidR="00543817">
        <w:t>.</w:t>
      </w:r>
      <w:r>
        <w:t xml:space="preserve"> Argenziano</w:t>
      </w:r>
      <w:r w:rsidR="00482B87" w:rsidRPr="00482B87">
        <w:rPr>
          <w:color w:val="000000"/>
          <w:vertAlign w:val="superscript"/>
        </w:rPr>
        <w:t>1</w:t>
      </w:r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H</w:t>
      </w:r>
      <w:r w:rsidR="00543817">
        <w:t>.</w:t>
      </w:r>
      <w:r>
        <w:t xml:space="preserve"> Takama</w:t>
      </w:r>
      <w:r w:rsidR="00482B87" w:rsidRPr="00482B87">
        <w:rPr>
          <w:color w:val="000000"/>
          <w:vertAlign w:val="superscript"/>
        </w:rPr>
        <w:t>1</w:t>
      </w:r>
      <w:r>
        <w:t>, Y</w:t>
      </w:r>
      <w:r w:rsidR="00543817">
        <w:t>.</w:t>
      </w:r>
      <w:r>
        <w:t xml:space="preserve"> Naka</w:t>
      </w:r>
      <w:r w:rsidR="00482B87" w:rsidRPr="00482B87">
        <w:rPr>
          <w:color w:val="000000"/>
          <w:vertAlign w:val="superscript"/>
        </w:rPr>
        <w:t>1</w:t>
      </w:r>
      <w:r>
        <w:t>, F</w:t>
      </w:r>
      <w:r w:rsidR="00543817">
        <w:t>.</w:t>
      </w:r>
      <w:r>
        <w:t>H</w:t>
      </w:r>
      <w:r w:rsidR="00543817">
        <w:t>.</w:t>
      </w:r>
      <w:r>
        <w:t xml:space="preserve"> Cheema</w:t>
      </w:r>
      <w:r w:rsidR="00482B87" w:rsidRPr="00482B87">
        <w:rPr>
          <w:color w:val="000000"/>
          <w:vertAlign w:val="superscript"/>
        </w:rPr>
        <w:t>1</w:t>
      </w:r>
    </w:p>
    <w:p w:rsidR="00B921ED" w:rsidRDefault="00482B87" w:rsidP="00482B87">
      <w:pPr>
        <w:widowControl w:val="0"/>
        <w:autoSpaceDE w:val="0"/>
        <w:autoSpaceDN w:val="0"/>
        <w:adjustRightInd w:val="0"/>
        <w:rPr>
          <w:color w:val="503820"/>
        </w:rPr>
      </w:pPr>
      <w:r w:rsidRPr="00482B87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Columbia University, New York, NY, </w:t>
      </w:r>
      <w:r>
        <w:rPr>
          <w:color w:val="000000"/>
        </w:rPr>
        <w:t>University of Connecticut Health Center, Farmington, CT, USA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p w:rsidR="003A75A8" w:rsidRDefault="00B921ED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3A75A8">
        <w:t xml:space="preserve"> </w:t>
      </w:r>
      <w:r>
        <w:t xml:space="preserve">Chronic kidney disease (CKD) is a complication of </w:t>
      </w:r>
      <w:proofErr w:type="spellStart"/>
      <w:r>
        <w:t>orthotopic</w:t>
      </w:r>
      <w:proofErr w:type="spellEnd"/>
      <w:r>
        <w:t xml:space="preserve"> heart transplantation (</w:t>
      </w:r>
      <w:proofErr w:type="spellStart"/>
      <w:r>
        <w:t>OHTx</w:t>
      </w:r>
      <w:proofErr w:type="spellEnd"/>
      <w:r>
        <w:t xml:space="preserve">) and factors that impact renal function other than exposure to immunosuppressive drugs are not well defined. We sought to investigate risk factors for development of severe-CKD following </w:t>
      </w:r>
      <w:proofErr w:type="spellStart"/>
      <w:r>
        <w:t>OHTx</w:t>
      </w:r>
      <w:proofErr w:type="spellEnd"/>
      <w:r>
        <w:t xml:space="preserve">. </w:t>
      </w:r>
    </w:p>
    <w:p w:rsidR="003A75A8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3A75A8">
        <w:t xml:space="preserve"> </w:t>
      </w:r>
      <w:r>
        <w:t xml:space="preserve">We retrospectively reviewed 844 consecutive patients who underwent </w:t>
      </w:r>
      <w:proofErr w:type="spellStart"/>
      <w:r>
        <w:t>OHTx</w:t>
      </w:r>
      <w:proofErr w:type="spellEnd"/>
      <w:r>
        <w:t xml:space="preserve"> from 1998-2010. Those with baseline </w:t>
      </w:r>
      <w:proofErr w:type="spellStart"/>
      <w:r>
        <w:t>eGFR</w:t>
      </w:r>
      <w:proofErr w:type="spellEnd"/>
      <w:r>
        <w:t xml:space="preserve">&gt;30 and a 5-year follow-up were included (n=680). CKD-EPI equation classified patients by pre-operative </w:t>
      </w:r>
      <w:proofErr w:type="spellStart"/>
      <w:r>
        <w:t>eGFR</w:t>
      </w:r>
      <w:proofErr w:type="spellEnd"/>
      <w:r>
        <w:t xml:space="preserve"> (mL/min/1.73m2): pre-normal (&gt;60) and pre-moderate-CKD (30-60). Severe-CKD was defined as having post-</w:t>
      </w:r>
      <w:proofErr w:type="spellStart"/>
      <w:r>
        <w:t>OHTx</w:t>
      </w:r>
      <w:proofErr w:type="spellEnd"/>
      <w:r>
        <w:t xml:space="preserve"> </w:t>
      </w:r>
      <w:proofErr w:type="spellStart"/>
      <w:r>
        <w:t>eGFR</w:t>
      </w:r>
      <w:proofErr w:type="spellEnd"/>
      <w:r>
        <w:t>&lt;30 between 2 months and 5 years post-</w:t>
      </w:r>
      <w:proofErr w:type="spellStart"/>
      <w:r>
        <w:t>OHTx</w:t>
      </w:r>
      <w:proofErr w:type="spellEnd"/>
      <w:r>
        <w:t>. Kaplan-Meier and multivariate Cox proportional-hazards testing were used for statistical analyses.</w:t>
      </w:r>
    </w:p>
    <w:p w:rsidR="003A75A8" w:rsidRDefault="00B921ED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3A75A8">
        <w:t xml:space="preserve"> </w:t>
      </w:r>
      <w:r>
        <w:t xml:space="preserve">Patients were 51.9±13.2 years old and included 23.3% women and 14.2% African Americans. Pre-transplant </w:t>
      </w:r>
      <w:proofErr w:type="spellStart"/>
      <w:r>
        <w:t>eGFR</w:t>
      </w:r>
      <w:proofErr w:type="spellEnd"/>
      <w:r>
        <w:t xml:space="preserve"> was 86.3±19.7, and 45.6±8.5 and 5-year incidence 7.69% and 15.27% in pre-normal and pre-moderate-CKD groups, respectively. Pre-moderate-CKD had higher incidence of severe-CKD at all times during follow-up (figure). Age, CMV, diabetes, LVEF, and Hepatitis C were significant predictors for development of CKD in the pre-moderate group. Multivariate analysi</w:t>
      </w:r>
      <w:r w:rsidR="003A75A8">
        <w:t xml:space="preserve">s showed that pre-moderate-CKD </w:t>
      </w:r>
      <w:r>
        <w:t>(Hazard ratio: 2.92, p&lt;0.001), was independently associated with long-term mortality after adjusting for risk factors.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</w:t>
      </w:r>
      <w:r w:rsidR="003A75A8">
        <w:t xml:space="preserve"> </w:t>
      </w:r>
      <w:r>
        <w:t xml:space="preserve">Five-year incidence of severe CKD following </w:t>
      </w:r>
      <w:proofErr w:type="spellStart"/>
      <w:r>
        <w:t>OHTx</w:t>
      </w:r>
      <w:proofErr w:type="spellEnd"/>
      <w:r>
        <w:t xml:space="preserve"> is noteworthy.  Pre-moderate-CKD does not only </w:t>
      </w:r>
      <w:proofErr w:type="gramStart"/>
      <w:r>
        <w:t>has</w:t>
      </w:r>
      <w:proofErr w:type="gramEnd"/>
      <w:r>
        <w:t xml:space="preserve"> a higher likelihood of development of severe CKD post-</w:t>
      </w:r>
      <w:proofErr w:type="spellStart"/>
      <w:r>
        <w:t>OHTx</w:t>
      </w:r>
      <w:proofErr w:type="spellEnd"/>
      <w:r>
        <w:t xml:space="preserve"> but it is also an independent predictor of long-term mortality. Given the impact of immunosuppressive regimen on renal function, a meticulous follow-up should be instituted to identify those at risk and to intervene at an early stage if severe-CKD were to develop.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52742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42" w:rsidRDefault="00E52742" w:rsidP="00E52742">
      <w:r>
        <w:separator/>
      </w:r>
    </w:p>
  </w:endnote>
  <w:endnote w:type="continuationSeparator" w:id="0">
    <w:p w:rsidR="00E52742" w:rsidRDefault="00E52742" w:rsidP="00E5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42" w:rsidRDefault="00E52742" w:rsidP="00E52742">
      <w:r>
        <w:separator/>
      </w:r>
    </w:p>
  </w:footnote>
  <w:footnote w:type="continuationSeparator" w:id="0">
    <w:p w:rsidR="00E52742" w:rsidRDefault="00E52742" w:rsidP="00E5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2" w:rsidRDefault="00E52742" w:rsidP="00E52742">
    <w:pPr>
      <w:pStyle w:val="Header"/>
    </w:pPr>
    <w:r>
      <w:t>1486, oral or poster, cat: 55</w:t>
    </w:r>
  </w:p>
  <w:p w:rsidR="00E52742" w:rsidRDefault="00E52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A75A8"/>
    <w:rsid w:val="00447B2F"/>
    <w:rsid w:val="00482B87"/>
    <w:rsid w:val="00543817"/>
    <w:rsid w:val="005A06DC"/>
    <w:rsid w:val="00B921ED"/>
    <w:rsid w:val="00E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AE088C90</Template>
  <TotalTime>6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7</cp:revision>
  <cp:lastPrinted>2012-06-19T12:04:00Z</cp:lastPrinted>
  <dcterms:created xsi:type="dcterms:W3CDTF">2012-05-02T13:36:00Z</dcterms:created>
  <dcterms:modified xsi:type="dcterms:W3CDTF">2012-06-19T12:08:00Z</dcterms:modified>
</cp:coreProperties>
</file>